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D1B2A"/>
          <w:sz w:val="28"/>
        </w:rPr>
        <w:t>Internal Auditing &amp; Risk Management</w:t>
      </w:r>
    </w:p>
    <w:p>
      <w:pPr>
        <w:jc w:val="center"/>
      </w:pPr>
      <w:r>
        <w:rPr>
          <w:rFonts w:ascii="Arial" w:hAnsi="Arial"/>
          <w:color w:val="6C757D"/>
          <w:sz w:val="20"/>
        </w:rPr>
        <w:t>Athenaeum University of Bucharest</w:t>
      </w:r>
    </w:p>
    <w:p>
      <w:pPr>
        <w:jc w:val="center"/>
      </w:pPr>
      <w:r>
        <w:rPr>
          <w:rFonts w:ascii="Arial" w:hAnsi="Arial"/>
          <w:color w:val="6C757D"/>
          <w:sz w:val="18"/>
        </w:rPr>
        <w:t>ISSN 2065-8168 (print)  ·  ISSN 2068-2077 (online)</w:t>
      </w:r>
    </w:p>
    <w:p>
      <w:pPr>
        <w:spacing w:before="120" w:after="120"/>
        <w:pBdr>
          <w:bottom w:val="single" w:sz="6" w:space="1" w:color="C9A227"/>
        </w:pBdr>
      </w:pPr>
    </w:p>
    <w:p>
      <w:pPr>
        <w:spacing w:before="240" w:after="120"/>
        <w:jc w:val="center"/>
      </w:pPr>
      <w:r>
        <w:rPr>
          <w:rFonts w:ascii="Times New Roman" w:hAnsi="Times New Roman"/>
          <w:b/>
          <w:color w:val="0D1B2A"/>
          <w:sz w:val="36"/>
        </w:rPr>
        <w:t>AUTHOR GUIDELINES</w:t>
      </w:r>
    </w:p>
    <w:p>
      <w:pPr>
        <w:spacing w:before="40" w:after="240"/>
        <w:pBdr>
          <w:bottom w:val="single" w:sz="4" w:space="1" w:color="C9A227"/>
        </w:pBdr>
      </w:pPr>
    </w:p>
    <w:p>
      <w:pPr>
        <w:spacing w:before="320" w:after="120"/>
        <w:pBdr>
          <w:bottom w:val="single" w:sz="4" w:space="2" w:color="C9A227"/>
        </w:pBdr>
      </w:pPr>
      <w:r>
        <w:rPr>
          <w:rFonts w:ascii="Times New Roman" w:hAnsi="Times New Roman"/>
          <w:b/>
          <w:color w:val="0D1B2A"/>
          <w:sz w:val="26"/>
        </w:rPr>
        <w:t>1. About the Journal</w:t>
      </w:r>
    </w:p>
    <w:p>
      <w:pPr>
        <w:spacing w:after="80"/>
        <w:jc w:val="both"/>
      </w:pPr>
      <w:r>
        <w:rPr>
          <w:rFonts w:ascii="Times New Roman" w:hAnsi="Times New Roman"/>
          <w:color w:val="2C3E50"/>
          <w:sz w:val="22"/>
        </w:rPr>
        <w:t>Internal Auditing &amp; Risk Management (AIMR) is a bi-annual, peer-reviewed, open-access academic journal published by Athenaeum University of Bucharest since 1990. The journal publishes original theoretical and applied research in internal auditing, risk management, corporate governance, financial management, and related disciplines.</w:t>
      </w:r>
    </w:p>
    <w:p>
      <w:pPr>
        <w:spacing w:after="80"/>
        <w:jc w:val="both"/>
      </w:pPr>
      <w:r>
        <w:rPr>
          <w:rFonts w:ascii="Times New Roman" w:hAnsi="Times New Roman"/>
          <w:color w:val="2C3E50"/>
          <w:sz w:val="22"/>
        </w:rPr>
        <w:t>ISSN (print): 2065-8168  |  ISSN (online): 2068-2077</w:t>
      </w:r>
    </w:p>
    <w:p>
      <w:pPr>
        <w:spacing w:after="80"/>
        <w:jc w:val="both"/>
      </w:pPr>
      <w:r>
        <w:rPr>
          <w:rFonts w:ascii="Times New Roman" w:hAnsi="Times New Roman"/>
          <w:color w:val="2C3E50"/>
          <w:sz w:val="22"/>
        </w:rPr>
        <w:t>Frequency: Twice yearly (March and September)  |  Review: Double-blind peer review</w:t>
      </w:r>
    </w:p>
    <w:p>
      <w:pPr>
        <w:spacing w:after="80"/>
        <w:jc w:val="both"/>
      </w:pPr>
      <w:r>
        <w:rPr>
          <w:rFonts w:ascii="Times New Roman" w:hAnsi="Times New Roman"/>
          <w:color w:val="2C3E50"/>
          <w:sz w:val="22"/>
        </w:rPr>
        <w:t>Language: English  |  License: Creative Commons CC BY 4.0</w:t>
      </w:r>
    </w:p>
    <w:p>
      <w:pPr>
        <w:spacing w:before="320" w:after="120"/>
        <w:pBdr>
          <w:bottom w:val="single" w:sz="4" w:space="2" w:color="C9A227"/>
        </w:pBdr>
      </w:pPr>
      <w:r>
        <w:rPr>
          <w:rFonts w:ascii="Times New Roman" w:hAnsi="Times New Roman"/>
          <w:b/>
          <w:color w:val="0D1B2A"/>
          <w:sz w:val="26"/>
        </w:rPr>
        <w:t>2. Scope and Topics</w:t>
      </w:r>
    </w:p>
    <w:p>
      <w:pPr>
        <w:spacing w:after="40"/>
        <w:ind w:left="567"/>
      </w:pPr>
      <w:r>
        <w:rPr>
          <w:rFonts w:ascii="Times New Roman" w:hAnsi="Times New Roman"/>
          <w:color w:val="2C3E50"/>
          <w:sz w:val="22"/>
        </w:rPr>
        <w:t>•  Internal auditing, audit quality, IT auditing</w:t>
      </w:r>
    </w:p>
    <w:p>
      <w:pPr>
        <w:spacing w:after="40"/>
        <w:ind w:left="567"/>
      </w:pPr>
      <w:r>
        <w:rPr>
          <w:rFonts w:ascii="Times New Roman" w:hAnsi="Times New Roman"/>
          <w:color w:val="2C3E50"/>
          <w:sz w:val="22"/>
        </w:rPr>
        <w:t>•  Enterprise risk management, operational risk</w:t>
      </w:r>
    </w:p>
    <w:p>
      <w:pPr>
        <w:spacing w:after="40"/>
        <w:ind w:left="567"/>
      </w:pPr>
      <w:r>
        <w:rPr>
          <w:rFonts w:ascii="Times New Roman" w:hAnsi="Times New Roman"/>
          <w:color w:val="2C3E50"/>
          <w:sz w:val="22"/>
        </w:rPr>
        <w:t>•  Corporate governance, compliance, transparency</w:t>
      </w:r>
    </w:p>
    <w:p>
      <w:pPr>
        <w:spacing w:after="40"/>
        <w:ind w:left="567"/>
      </w:pPr>
      <w:r>
        <w:rPr>
          <w:rFonts w:ascii="Times New Roman" w:hAnsi="Times New Roman"/>
          <w:color w:val="2C3E50"/>
          <w:sz w:val="22"/>
        </w:rPr>
        <w:t>•  Accounting, financial reporting, IFRS/IPSAS</w:t>
      </w:r>
    </w:p>
    <w:p>
      <w:pPr>
        <w:spacing w:after="40"/>
        <w:ind w:left="567"/>
      </w:pPr>
      <w:r>
        <w:rPr>
          <w:rFonts w:ascii="Times New Roman" w:hAnsi="Times New Roman"/>
          <w:color w:val="2C3E50"/>
          <w:sz w:val="22"/>
        </w:rPr>
        <w:t>•  Management, strategic planning, organizational control</w:t>
      </w:r>
    </w:p>
    <w:p>
      <w:pPr>
        <w:spacing w:after="40"/>
        <w:ind w:left="567"/>
      </w:pPr>
      <w:r>
        <w:rPr>
          <w:rFonts w:ascii="Times New Roman" w:hAnsi="Times New Roman"/>
          <w:color w:val="2C3E50"/>
          <w:sz w:val="22"/>
        </w:rPr>
        <w:t>•  Public sector auditing, fiscal policy</w:t>
      </w:r>
    </w:p>
    <w:p>
      <w:pPr>
        <w:spacing w:after="40"/>
        <w:ind w:left="567"/>
      </w:pPr>
      <w:r>
        <w:rPr>
          <w:rFonts w:ascii="Times New Roman" w:hAnsi="Times New Roman"/>
          <w:color w:val="2C3E50"/>
          <w:sz w:val="22"/>
        </w:rPr>
        <w:t>•  Banking supervision, financial stability</w:t>
      </w:r>
    </w:p>
    <w:p>
      <w:pPr>
        <w:spacing w:after="40"/>
        <w:ind w:left="567"/>
      </w:pPr>
      <w:r>
        <w:rPr>
          <w:rFonts w:ascii="Times New Roman" w:hAnsi="Times New Roman"/>
          <w:color w:val="2C3E50"/>
          <w:sz w:val="22"/>
        </w:rPr>
        <w:t>•  Digital transformation, AI in auditing</w:t>
      </w:r>
    </w:p>
    <w:p>
      <w:pPr>
        <w:spacing w:after="40"/>
        <w:ind w:left="567"/>
      </w:pPr>
      <w:r>
        <w:rPr>
          <w:rFonts w:ascii="Times New Roman" w:hAnsi="Times New Roman"/>
          <w:color w:val="2C3E50"/>
          <w:sz w:val="22"/>
        </w:rPr>
        <w:t>•  ESG reporting, sustainability</w:t>
      </w:r>
    </w:p>
    <w:p>
      <w:pPr>
        <w:spacing w:after="40"/>
        <w:ind w:left="567"/>
      </w:pPr>
      <w:r>
        <w:rPr>
          <w:rFonts w:ascii="Times New Roman" w:hAnsi="Times New Roman"/>
          <w:color w:val="2C3E50"/>
          <w:sz w:val="22"/>
        </w:rPr>
        <w:t>•  Forensic accounting, anti-fraud</w:t>
      </w:r>
    </w:p>
    <w:p>
      <w:pPr>
        <w:spacing w:before="320" w:after="120"/>
        <w:pBdr>
          <w:bottom w:val="single" w:sz="4" w:space="2" w:color="C9A227"/>
        </w:pBdr>
      </w:pPr>
      <w:r>
        <w:rPr>
          <w:rFonts w:ascii="Times New Roman" w:hAnsi="Times New Roman"/>
          <w:b/>
          <w:color w:val="0D1B2A"/>
          <w:sz w:val="26"/>
        </w:rPr>
        <w:t>3. Submission</w:t>
      </w:r>
    </w:p>
    <w:p>
      <w:pPr>
        <w:spacing w:after="80"/>
        <w:jc w:val="both"/>
      </w:pPr>
      <w:r>
        <w:rPr>
          <w:rFonts w:ascii="Times New Roman" w:hAnsi="Times New Roman"/>
          <w:color w:val="2C3E50"/>
          <w:sz w:val="22"/>
        </w:rPr>
        <w:t>Submit manuscripts to: aimr@univath.ro</w:t>
      </w:r>
    </w:p>
    <w:p>
      <w:pPr>
        <w:spacing w:after="80"/>
        <w:jc w:val="both"/>
      </w:pPr>
      <w:r>
        <w:rPr>
          <w:rFonts w:ascii="Times New Roman" w:hAnsi="Times New Roman"/>
          <w:color w:val="2C3E50"/>
          <w:sz w:val="22"/>
        </w:rPr>
        <w:t>Subject line: "AIMR Submission — [Short Title]"</w:t>
      </w:r>
    </w:p>
    <w:p>
      <w:pPr>
        <w:spacing w:after="80"/>
        <w:jc w:val="both"/>
      </w:pPr>
      <w:r>
        <w:rPr>
          <w:rFonts w:ascii="Times New Roman" w:hAnsi="Times New Roman"/>
          <w:color w:val="2C3E50"/>
          <w:sz w:val="22"/>
        </w:rPr>
        <w:t>Required files: (1) Manuscript (.docx, using AIMR template), (2) Cover Letter, (3) Author Declaration Form (signed by all authors).</w:t>
      </w:r>
    </w:p>
    <w:p>
      <w:pPr>
        <w:spacing w:before="320" w:after="120"/>
        <w:pBdr>
          <w:bottom w:val="single" w:sz="4" w:space="2" w:color="C9A227"/>
        </w:pBdr>
      </w:pPr>
      <w:r>
        <w:rPr>
          <w:rFonts w:ascii="Times New Roman" w:hAnsi="Times New Roman"/>
          <w:b/>
          <w:color w:val="0D1B2A"/>
          <w:sz w:val="26"/>
        </w:rPr>
        <w:t>4. Manuscript Format</w:t>
      </w:r>
    </w:p>
    <w:p>
      <w:pPr>
        <w:spacing w:after="80"/>
        <w:jc w:val="both"/>
      </w:pPr>
      <w:r>
        <w:rPr>
          <w:rFonts w:ascii="Times New Roman" w:hAnsi="Times New Roman"/>
          <w:color w:val="2C3E50"/>
          <w:sz w:val="22"/>
        </w:rPr>
        <w:t>Use the AIMR Article Template (available upon request or download from journal website).</w:t>
      </w:r>
    </w:p>
    <w:p>
      <w:pPr>
        <w:spacing w:after="40"/>
        <w:ind w:left="567"/>
      </w:pPr>
      <w:r>
        <w:rPr>
          <w:rFonts w:ascii="Times New Roman" w:hAnsi="Times New Roman"/>
          <w:color w:val="2C3E50"/>
          <w:sz w:val="22"/>
        </w:rPr>
        <w:t>•  Format: A4, Times New Roman 11pt, 1.5 line spacing, 2.5 cm margins</w:t>
      </w:r>
    </w:p>
    <w:p>
      <w:pPr>
        <w:spacing w:after="40"/>
        <w:ind w:left="567"/>
      </w:pPr>
      <w:r>
        <w:rPr>
          <w:rFonts w:ascii="Times New Roman" w:hAnsi="Times New Roman"/>
          <w:color w:val="2C3E50"/>
          <w:sz w:val="22"/>
        </w:rPr>
        <w:t>•  Length: 5,000–10,000 words (excluding references)</w:t>
      </w:r>
    </w:p>
    <w:p>
      <w:pPr>
        <w:spacing w:after="40"/>
        <w:ind w:left="567"/>
      </w:pPr>
      <w:r>
        <w:rPr>
          <w:rFonts w:ascii="Times New Roman" w:hAnsi="Times New Roman"/>
          <w:color w:val="2C3E50"/>
          <w:sz w:val="22"/>
        </w:rPr>
        <w:t>•  Structure: Title, Authors with ORCID, Abstract (max 250 words), Keywords (3–6), JEL codes (2–4), Introduction, Literature Review, Methodology, Results, Discussion, Conclusions, Declarations, References</w:t>
      </w:r>
    </w:p>
    <w:p>
      <w:pPr>
        <w:spacing w:after="40"/>
        <w:ind w:left="567"/>
      </w:pPr>
      <w:r>
        <w:rPr>
          <w:rFonts w:ascii="Times New Roman" w:hAnsi="Times New Roman"/>
          <w:color w:val="2C3E50"/>
          <w:sz w:val="22"/>
        </w:rPr>
        <w:t>•  Tables: horizontal lines only (academic style), title above, source below</w:t>
      </w:r>
    </w:p>
    <w:p>
      <w:pPr>
        <w:spacing w:after="40"/>
        <w:ind w:left="567"/>
      </w:pPr>
      <w:r>
        <w:rPr>
          <w:rFonts w:ascii="Times New Roman" w:hAnsi="Times New Roman"/>
          <w:color w:val="2C3E50"/>
          <w:sz w:val="22"/>
        </w:rPr>
        <w:t>•  Figures: minimum 300 DPI, readable in grayscale, caption below</w:t>
      </w:r>
    </w:p>
    <w:p>
      <w:pPr>
        <w:spacing w:after="40"/>
        <w:ind w:left="567"/>
      </w:pPr>
      <w:r>
        <w:rPr>
          <w:rFonts w:ascii="Times New Roman" w:hAnsi="Times New Roman"/>
          <w:color w:val="2C3E50"/>
          <w:sz w:val="22"/>
        </w:rPr>
        <w:t>•  Equations: Word Equation Editor only (not images)</w:t>
      </w:r>
    </w:p>
    <w:p>
      <w:pPr>
        <w:spacing w:after="40"/>
        <w:ind w:left="567"/>
      </w:pPr>
      <w:r>
        <w:rPr>
          <w:rFonts w:ascii="Times New Roman" w:hAnsi="Times New Roman"/>
          <w:color w:val="2C3E50"/>
          <w:sz w:val="22"/>
        </w:rPr>
        <w:t>•  References: APA 7th edition, minimum 25 sources, at least 50% from the last 5 years, include DOI when available</w:t>
      </w:r>
    </w:p>
    <w:p>
      <w:pPr>
        <w:spacing w:before="320" w:after="120"/>
        <w:pBdr>
          <w:bottom w:val="single" w:sz="4" w:space="2" w:color="C9A227"/>
        </w:pBdr>
      </w:pPr>
      <w:r>
        <w:rPr>
          <w:rFonts w:ascii="Times New Roman" w:hAnsi="Times New Roman"/>
          <w:b/>
          <w:color w:val="0D1B2A"/>
          <w:sz w:val="26"/>
        </w:rPr>
        <w:t>5. Ethical Requirements</w:t>
      </w:r>
    </w:p>
    <w:p>
      <w:pPr>
        <w:spacing w:after="40"/>
        <w:ind w:left="567"/>
      </w:pPr>
      <w:r>
        <w:rPr>
          <w:rFonts w:ascii="Times New Roman" w:hAnsi="Times New Roman"/>
          <w:color w:val="2C3E50"/>
          <w:sz w:val="22"/>
        </w:rPr>
        <w:t>•  Manuscripts must be original, unpublished, and not under review elsewhere</w:t>
      </w:r>
    </w:p>
    <w:p>
      <w:pPr>
        <w:spacing w:after="40"/>
        <w:ind w:left="567"/>
      </w:pPr>
      <w:r>
        <w:rPr>
          <w:rFonts w:ascii="Times New Roman" w:hAnsi="Times New Roman"/>
          <w:color w:val="2C3E50"/>
          <w:sz w:val="22"/>
        </w:rPr>
        <w:t>•  All submissions screened with plagiarism detection software (max 20% similarity)</w:t>
      </w:r>
    </w:p>
    <w:p>
      <w:pPr>
        <w:spacing w:after="40"/>
        <w:ind w:left="567"/>
      </w:pPr>
      <w:r>
        <w:rPr>
          <w:rFonts w:ascii="Times New Roman" w:hAnsi="Times New Roman"/>
          <w:color w:val="2C3E50"/>
          <w:sz w:val="22"/>
        </w:rPr>
        <w:t>•  AI tools usage must be disclosed in Acknowledgments</w:t>
      </w:r>
    </w:p>
    <w:p>
      <w:pPr>
        <w:spacing w:after="40"/>
        <w:ind w:left="567"/>
      </w:pPr>
      <w:r>
        <w:rPr>
          <w:rFonts w:ascii="Times New Roman" w:hAnsi="Times New Roman"/>
          <w:color w:val="2C3E50"/>
          <w:sz w:val="22"/>
        </w:rPr>
        <w:t>•  All authors must have ORCID iDs</w:t>
      </w:r>
    </w:p>
    <w:p>
      <w:pPr>
        <w:spacing w:after="40"/>
        <w:ind w:left="567"/>
      </w:pPr>
      <w:r>
        <w:rPr>
          <w:rFonts w:ascii="Times New Roman" w:hAnsi="Times New Roman"/>
          <w:color w:val="2C3E50"/>
          <w:sz w:val="22"/>
        </w:rPr>
        <w:t>•  Declaration of Interest required (even if "none")</w:t>
      </w:r>
    </w:p>
    <w:p>
      <w:pPr>
        <w:spacing w:after="40"/>
        <w:ind w:left="567"/>
      </w:pPr>
      <w:r>
        <w:rPr>
          <w:rFonts w:ascii="Times New Roman" w:hAnsi="Times New Roman"/>
          <w:color w:val="2C3E50"/>
          <w:sz w:val="22"/>
        </w:rPr>
        <w:t>•  Author Contributions in CRediT format recommended</w:t>
      </w:r>
    </w:p>
    <w:p>
      <w:pPr>
        <w:spacing w:before="320" w:after="120"/>
        <w:pBdr>
          <w:bottom w:val="single" w:sz="4" w:space="2" w:color="C9A227"/>
        </w:pBdr>
      </w:pPr>
      <w:r>
        <w:rPr>
          <w:rFonts w:ascii="Times New Roman" w:hAnsi="Times New Roman"/>
          <w:b/>
          <w:color w:val="0D1B2A"/>
          <w:sz w:val="26"/>
        </w:rPr>
        <w:t>6. Peer Review Process</w:t>
      </w:r>
    </w:p>
    <w:p>
      <w:pPr>
        <w:spacing w:after="80"/>
        <w:jc w:val="both"/>
      </w:pPr>
      <w:r>
        <w:rPr>
          <w:rFonts w:ascii="Times New Roman" w:hAnsi="Times New Roman"/>
          <w:color w:val="2C3E50"/>
          <w:sz w:val="22"/>
        </w:rPr>
        <w:t>1. Desk review by Editor (1 week): scope and quality check</w:t>
      </w:r>
    </w:p>
    <w:p>
      <w:pPr>
        <w:spacing w:after="80"/>
        <w:jc w:val="both"/>
      </w:pPr>
      <w:r>
        <w:rPr>
          <w:rFonts w:ascii="Times New Roman" w:hAnsi="Times New Roman"/>
          <w:color w:val="2C3E50"/>
          <w:sz w:val="22"/>
        </w:rPr>
        <w:t>2. Double-blind peer review by two independent reviewers (2–4 weeks)</w:t>
      </w:r>
    </w:p>
    <w:p>
      <w:pPr>
        <w:spacing w:after="80"/>
        <w:jc w:val="both"/>
      </w:pPr>
      <w:r>
        <w:rPr>
          <w:rFonts w:ascii="Times New Roman" w:hAnsi="Times New Roman"/>
          <w:color w:val="2C3E50"/>
          <w:sz w:val="22"/>
        </w:rPr>
        <w:t>3. Editorial decision: Accept / Minor revision / Major revision / Reject</w:t>
      </w:r>
    </w:p>
    <w:p>
      <w:pPr>
        <w:spacing w:after="80"/>
        <w:jc w:val="both"/>
      </w:pPr>
      <w:r>
        <w:rPr>
          <w:rFonts w:ascii="Times New Roman" w:hAnsi="Times New Roman"/>
          <w:color w:val="2C3E50"/>
          <w:sz w:val="22"/>
        </w:rPr>
        <w:t>4. Revision period: 14 days (minor) / 30 days (major)</w:t>
      </w:r>
    </w:p>
    <w:p>
      <w:pPr>
        <w:spacing w:after="80"/>
        <w:jc w:val="both"/>
      </w:pPr>
      <w:r>
        <w:rPr>
          <w:rFonts w:ascii="Times New Roman" w:hAnsi="Times New Roman"/>
          <w:color w:val="2C3E50"/>
          <w:sz w:val="22"/>
        </w:rPr>
        <w:t>5. Final decision by Editor-in-Chief</w:t>
      </w:r>
    </w:p>
    <w:p>
      <w:pPr>
        <w:spacing w:before="320" w:after="120"/>
        <w:pBdr>
          <w:bottom w:val="single" w:sz="4" w:space="2" w:color="C9A227"/>
        </w:pBdr>
      </w:pPr>
      <w:r>
        <w:rPr>
          <w:rFonts w:ascii="Times New Roman" w:hAnsi="Times New Roman"/>
          <w:b/>
          <w:color w:val="0D1B2A"/>
          <w:sz w:val="26"/>
        </w:rPr>
        <w:t>7. After Acceptance</w:t>
      </w:r>
    </w:p>
    <w:p>
      <w:pPr>
        <w:spacing w:after="80"/>
        <w:jc w:val="both"/>
      </w:pPr>
      <w:r>
        <w:rPr>
          <w:rFonts w:ascii="Times New Roman" w:hAnsi="Times New Roman"/>
          <w:color w:val="2C3E50"/>
          <w:sz w:val="22"/>
        </w:rPr>
        <w:t>Each article receives a DOI. Published in PDF on the journal website and indexed in: RePEc, CEEOL, SSRN, Google Scholar. Open access under CC BY 4.0.</w:t>
      </w:r>
    </w:p>
    <w:p>
      <w:pPr>
        <w:spacing w:before="320" w:after="120"/>
        <w:pBdr>
          <w:bottom w:val="single" w:sz="4" w:space="2" w:color="C9A227"/>
        </w:pBdr>
      </w:pPr>
      <w:r>
        <w:rPr>
          <w:rFonts w:ascii="Times New Roman" w:hAnsi="Times New Roman"/>
          <w:b/>
          <w:color w:val="0D1B2A"/>
          <w:sz w:val="26"/>
        </w:rPr>
        <w:t>8. Contact</w:t>
      </w:r>
    </w:p>
    <w:p>
      <w:pPr>
        <w:spacing w:after="80"/>
        <w:jc w:val="both"/>
      </w:pPr>
      <w:r>
        <w:rPr>
          <w:rFonts w:ascii="Times New Roman" w:hAnsi="Times New Roman"/>
          <w:color w:val="2C3E50"/>
          <w:sz w:val="22"/>
        </w:rPr>
        <w:t>Editorial Office: Internal Auditing &amp; Risk Management (AIMR)</w:t>
      </w:r>
    </w:p>
    <w:p>
      <w:pPr>
        <w:spacing w:after="80"/>
        <w:jc w:val="both"/>
      </w:pPr>
      <w:r>
        <w:rPr>
          <w:rFonts w:ascii="Times New Roman" w:hAnsi="Times New Roman"/>
          <w:color w:val="2C3E50"/>
          <w:sz w:val="22"/>
        </w:rPr>
        <w:t>Athenaeum University of Bucharest, Str. Giuseppe Garibaldi Nr. 2A, Sector 2, București, România</w:t>
      </w:r>
    </w:p>
    <w:p>
      <w:pPr>
        <w:spacing w:after="80"/>
        <w:jc w:val="both"/>
      </w:pPr>
      <w:r>
        <w:rPr>
          <w:rFonts w:ascii="Times New Roman" w:hAnsi="Times New Roman"/>
          <w:color w:val="2C3E50"/>
          <w:sz w:val="22"/>
        </w:rPr>
        <w:t>Email: aimr@univath.ro  |  Web: https://univath.ro/cercetare/AIMR</w:t>
      </w:r>
    </w:p>
    <w:p>
      <w:pPr>
        <w:spacing w:before="400"/>
        <w:pBdr>
          <w:top w:val="single" w:sz="4" w:space="4" w:color="C9A227"/>
        </w:pBdr>
        <w:jc w:val="center"/>
      </w:pPr>
      <w:r>
        <w:rPr>
          <w:rFonts w:ascii="Arial" w:hAnsi="Arial"/>
          <w:color w:val="6C757D"/>
          <w:sz w:val="16"/>
        </w:rPr>
        <w:t>Internal Auditing &amp; Risk Management  ·  aimr@univath.ro  ·  https://univath.ro/cercetare/AIMR</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Athenaeum University of Bucharest - Internal Auditing and Risk Management (aimr@univath.ro)</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AIMR Author Guidelines</dc:title>
  <dc:subject>Internal Auditing &amp; Risk Management</dc:subject>
  <dc:creator>AIMR Editorial Office (aimr@univath.ro)</dc:creator>
  <cp:keywords/>
  <dc:description>Internal Auditing and Risk Management (AIMR), ISSN 2065-8168 / 2068-2077, Athenaeum University of Bucharest. Contact: aimr@univath.ro</dc:description>
  <cp:lastModifiedBy>AIMR Editorial Office (aimr@univath.ro)</cp:lastModifiedBy>
  <cp:revision>1</cp:revision>
  <dcterms:created xsi:type="dcterms:W3CDTF">2013-12-23T23:15:00Z</dcterms:created>
  <dcterms:modified xsi:type="dcterms:W3CDTF">2013-12-23T23:15:00Z</dcterms:modified>
  <cp:category/>
</cp:coreProperties>
</file>