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pStyle w:val="AIMRArticleType"/>
      </w:pPr>
      <w:r>
        <w:t>RESEARCH ARTICLE</w:t>
      </w:r>
      <w:r>
        <w:rPr>
          <w:rFonts w:ascii="Arial" w:hAnsi="Arial"/>
          <w:i/>
          <w:color w:val="DC3545"/>
          <w:sz w:val="16"/>
        </w:rPr>
      </w:r>
    </w:p>
    <w:p>
      <w:pPr>
        <w:pStyle w:val="AIMRTitle"/>
      </w:pPr>
      <w:r>
        <w:t>Title of the Article: Concise, Informative, Maximum 20 Words, Reflecting Content and Methodology</w:t>
      </w:r>
    </w:p>
    <w:p>
      <w:pPr>
        <w:spacing w:before="120" w:after="120"/>
        <w:pBdr>
          <w:bottom w:val="single" w:sz="4" w:space="1" w:color="C9A227"/>
        </w:pBdr>
      </w:pPr>
    </w:p>
    <w:p>
      <w:pPr>
        <w:pStyle w:val="AIMRAuthors"/>
      </w:pPr>
      <w:r>
        <w:rPr>
          <w:b/>
        </w:rPr>
        <w:t>First Author Name</w:t>
      </w:r>
      <w:r>
        <w:t>¹</w:t>
      </w:r>
      <w:r>
        <w:t xml:space="preserve">  ·  </w:t>
      </w:r>
      <w:r>
        <w:rPr>
          <w:b/>
        </w:rPr>
        <w:t>Second Author Name</w:t>
      </w:r>
      <w:r>
        <w:t>²</w:t>
      </w:r>
    </w:p>
    <w:p>
      <w:pPr>
        <w:pStyle w:val="AIMRAffiliation"/>
      </w:pPr>
      <w:r>
        <w:t>¹ Full Affiliation, Department, University, City, Country</w:t>
      </w:r>
    </w:p>
    <w:p>
      <w:pPr>
        <w:pStyle w:val="AIMRAffiliation"/>
      </w:pPr>
      <w:r>
        <w:t>ORCID: 0000-0000-0000-0000  ·  ✉ corresponding.author@university.edu</w:t>
      </w:r>
      <w:r>
        <w:rPr>
          <w:rFonts w:ascii="Arial" w:hAnsi="Arial"/>
          <w:i/>
          <w:color w:val="DC3545"/>
          <w:sz w:val="16"/>
        </w:rPr>
      </w:r>
    </w:p>
    <w:p>
      <w:pPr>
        <w:pStyle w:val="AIMRAffiliation"/>
      </w:pPr>
      <w:r>
        <w:t>² Full Affiliation, Department, University, City, Country</w:t>
      </w:r>
    </w:p>
    <w:p>
      <w:pPr>
        <w:pStyle w:val="AIMRAffiliation"/>
      </w:pPr>
      <w:r>
        <w:t>ORCID: 0000-0000-0000-0000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fill="F8F9FA"/>
            <w:tcBorders>
              <w:start w:val="single" w:sz="18" w:space="0" w:color="0D1B2A"/>
              <w:top w:val="single" w:sz="4" w:space="0" w:color="E0E0E0"/>
              <w:bottom w:val="single" w:sz="4" w:space="0" w:color="E0E0E0"/>
              <w:end w:val="single" w:sz="4" w:space="0" w:color="E0E0E0"/>
            </w:tcBorders>
          </w:tcPr>
          <w:p>
            <w:pPr>
              <w:spacing w:before="20" w:after="20"/>
            </w:pPr>
            <w:r>
              <w:rPr>
                <w:rFonts w:ascii="Arial" w:hAnsi="Arial"/>
                <w:b/>
                <w:color w:val="2C3E50"/>
                <w:sz w:val="18"/>
              </w:rPr>
              <w:t xml:space="preserve">Received: </w:t>
            </w:r>
            <w:r>
              <w:rPr>
                <w:rFonts w:ascii="Arial" w:hAnsi="Arial"/>
                <w:color w:val="6C757D"/>
                <w:sz w:val="18"/>
              </w:rPr>
              <w:t>DD Month YYYY</w:t>
            </w:r>
          </w:p>
          <w:p>
            <w:pPr>
              <w:spacing w:before="20" w:after="20"/>
            </w:pPr>
            <w:r>
              <w:rPr>
                <w:rFonts w:ascii="Arial" w:hAnsi="Arial"/>
                <w:b/>
                <w:color w:val="2C3E50"/>
                <w:sz w:val="18"/>
              </w:rPr>
              <w:t xml:space="preserve">Revised: </w:t>
            </w:r>
            <w:r>
              <w:rPr>
                <w:rFonts w:ascii="Arial" w:hAnsi="Arial"/>
                <w:color w:val="6C757D"/>
                <w:sz w:val="18"/>
              </w:rPr>
              <w:t>DD Month YYYY</w:t>
            </w:r>
          </w:p>
          <w:p>
            <w:pPr>
              <w:spacing w:before="20" w:after="20"/>
            </w:pPr>
            <w:r>
              <w:rPr>
                <w:rFonts w:ascii="Arial" w:hAnsi="Arial"/>
                <w:b/>
                <w:color w:val="2C3E50"/>
                <w:sz w:val="18"/>
              </w:rPr>
              <w:t xml:space="preserve">Accepted: </w:t>
            </w:r>
            <w:r>
              <w:rPr>
                <w:rFonts w:ascii="Arial" w:hAnsi="Arial"/>
                <w:color w:val="6C757D"/>
                <w:sz w:val="18"/>
              </w:rPr>
              <w:t>DD Month YYYY</w:t>
            </w:r>
          </w:p>
          <w:p>
            <w:pPr>
              <w:spacing w:before="20" w:after="20"/>
            </w:pPr>
            <w:r>
              <w:rPr>
                <w:rFonts w:ascii="Arial" w:hAnsi="Arial"/>
                <w:b/>
                <w:color w:val="2C3E50"/>
                <w:sz w:val="18"/>
              </w:rPr>
              <w:t xml:space="preserve">Published: </w:t>
            </w:r>
            <w:r>
              <w:rPr>
                <w:rFonts w:ascii="Arial" w:hAnsi="Arial"/>
                <w:color w:val="6C757D"/>
                <w:sz w:val="18"/>
              </w:rPr>
              <w:t>DD Month YYYY</w:t>
            </w:r>
          </w:p>
          <w:p>
            <w:pPr>
              <w:spacing w:before="20" w:after="20"/>
            </w:pPr>
          </w:p>
          <w:p>
            <w:pPr>
              <w:spacing w:before="20" w:after="20"/>
            </w:pPr>
            <w:r>
              <w:rPr>
                <w:rFonts w:ascii="Arial" w:hAnsi="Arial"/>
                <w:b/>
                <w:color w:val="2C3E50"/>
                <w:sz w:val="18"/>
              </w:rPr>
              <w:t xml:space="preserve">DOI: </w:t>
            </w:r>
            <w:r>
              <w:rPr>
                <w:rFonts w:ascii="Arial" w:hAnsi="Arial"/>
                <w:color w:val="6C757D"/>
                <w:sz w:val="18"/>
              </w:rPr>
              <w:t>https://doi.org/10.XXXXX/aimr.2026.XX.XX</w:t>
            </w:r>
          </w:p>
        </w:tc>
      </w:tr>
    </w:tbl>
    <w:p>
      <w:pPr>
        <w:spacing w:after="40"/>
      </w:pPr>
    </w:p>
    <w:p>
      <w:pPr>
        <w:pStyle w:val="AIMRAbstractHeading"/>
        <w:pBdr>
          <w:bottom w:val="single" w:sz="4" w:space="2" w:color="C9A227"/>
        </w:pBdr>
      </w:pPr>
      <w:r>
        <w:t>Abstract</w:t>
      </w:r>
    </w:p>
    <w:p>
      <w:pPr>
        <w:pStyle w:val="AIMRAbstract"/>
      </w:pPr>
      <w:r>
        <w:t>[Write your abstract here. Replace this entire text with your abstract.]</w:t>
      </w:r>
    </w:p>
    <w:p>
      <w:pPr>
        <w:spacing w:before="120" w:after="120"/>
        <w:pBdr>
          <w:bottom w:val="single" w:sz="2" w:space="1" w:color="E0E0E0"/>
        </w:pBdr>
      </w:pPr>
    </w:p>
    <w:p>
      <w:pPr>
        <w:pStyle w:val="AIMRKeywords"/>
      </w:pPr>
      <w:r>
        <w:rPr>
          <w:b/>
        </w:rPr>
        <w:t xml:space="preserve">Keywords: </w:t>
      </w:r>
      <w:r>
        <w:t>keyword one; keyword two; keyword three; keyword four; keyword five</w:t>
      </w:r>
      <w:r>
        <w:rPr>
          <w:rFonts w:ascii="Arial" w:hAnsi="Arial"/>
          <w:i/>
          <w:color w:val="DC3545"/>
          <w:sz w:val="16"/>
        </w:rPr>
      </w:r>
    </w:p>
    <w:p>
      <w:pPr>
        <w:pStyle w:val="AIMRJEL"/>
      </w:pPr>
      <w:r>
        <w:rPr>
          <w:b/>
        </w:rPr>
        <w:t xml:space="preserve">JEL Classification: </w:t>
      </w:r>
      <w:r>
        <w:t>M42, G32, O33</w:t>
      </w:r>
      <w:r>
        <w:rPr>
          <w:rFonts w:ascii="Arial" w:hAnsi="Arial"/>
          <w:i/>
          <w:color w:val="DC3545"/>
          <w:sz w:val="16"/>
        </w:rPr>
      </w:r>
    </w:p>
    <w:p>
      <w:pPr>
        <w:spacing w:before="120" w:after="120"/>
        <w:pBdr>
          <w:bottom w:val="single" w:sz="2" w:space="1" w:color="E0E0E0"/>
        </w:pBdr>
      </w:pPr>
    </w:p>
    <w:p>
      <w:pPr>
        <w:pStyle w:val="AIMRLicense"/>
      </w:pPr>
      <w:r>
        <w:t xml:space="preserve">© 2026 The Author(s). Published by Athenaeum University of Bucharest under </w:t>
      </w:r>
      <w:r>
        <w:rPr>
          <w:b/>
        </w:rPr>
        <w:t>CC BY 4.0</w:t>
      </w:r>
      <w:r>
        <w:t xml:space="preserve"> license.</w:t>
      </w:r>
    </w:p>
    <w:p>
      <w:r>
        <w:br w:type="page"/>
      </w:r>
    </w:p>
    <w:p>
      <w:pPr>
        <w:pStyle w:val="AIMRHeading1"/>
        <w:pBdr>
          <w:bottom w:val="single" w:sz="4" w:space="2" w:color="C9A227"/>
        </w:pBdr>
      </w:pPr>
      <w:r>
        <w:t>1. INTRODUCTION</w:t>
      </w:r>
    </w:p>
    <w:p>
      <w:pPr>
        <w:pStyle w:val="AIMRBodyFirst"/>
      </w:pPr>
      <w:r>
        <w:t>[Begin your introduction here. Establish context, identify the research gap, state objectives and research questions, outline the paper structure.]</w:t>
      </w:r>
    </w:p>
    <w:p>
      <w:pPr>
        <w:pStyle w:val="AIMRBody"/>
      </w:pPr>
      <w:r>
        <w:t>[Subsequent paragraphs are indented automatically. Use in-text citations: (Smith, 2023), (Smith &amp; Jones, 2023), (Smith et al., 2023), (Smith, 2023, p. 45).]</w:t>
      </w:r>
    </w:p>
    <w:p>
      <w:pPr>
        <w:pStyle w:val="AIMRHeading1"/>
        <w:pBdr>
          <w:bottom w:val="single" w:sz="4" w:space="2" w:color="C9A227"/>
        </w:pBdr>
      </w:pPr>
      <w:r>
        <w:t>2. LITERATURE REVIEW</w:t>
      </w:r>
    </w:p>
    <w:p>
      <w:pPr>
        <w:pStyle w:val="AIMRHeading2"/>
      </w:pPr>
      <w:r>
        <w:t>2.1. Theoretical Framework</w:t>
      </w:r>
    </w:p>
    <w:p>
      <w:pPr>
        <w:pStyle w:val="AIMRBodyFirst"/>
      </w:pPr>
      <w:r>
        <w:t>[Present the theoretical background and review relevant prior research. Organize thematically, not chronologically. Identify the gap your study addresses.]</w:t>
      </w:r>
    </w:p>
    <w:p>
      <w:pPr>
        <w:pStyle w:val="AIMRHeading3"/>
      </w:pPr>
      <w:r>
        <w:t>2.1.1. Sub-subsection Title</w:t>
      </w:r>
    </w:p>
    <w:p>
      <w:pPr>
        <w:pStyle w:val="AIMRBodyFirst"/>
      </w:pPr>
      <w:r>
        <w:t>[Use Level 3 headings sparingly. Maximum three levels of headings are permitted.]</w:t>
      </w:r>
    </w:p>
    <w:p>
      <w:pPr>
        <w:pStyle w:val="AIMRHeading1"/>
        <w:pBdr>
          <w:bottom w:val="single" w:sz="4" w:space="2" w:color="C9A227"/>
        </w:pBdr>
      </w:pPr>
      <w:r>
        <w:t>3. METHODOLOGY</w:t>
      </w:r>
    </w:p>
    <w:p>
      <w:pPr>
        <w:pStyle w:val="AIMRBodyFirst"/>
      </w:pPr>
      <w:r>
        <w:t>[Describe research design, data sources, sample, variables, analytical methods. Provide sufficient detail for replication. Justify methodological choices.]</w:t>
      </w:r>
    </w:p>
    <w:p>
      <w:pPr>
        <w:pStyle w:val="AIMRHeading1"/>
        <w:pBdr>
          <w:bottom w:val="single" w:sz="4" w:space="2" w:color="C9A227"/>
        </w:pBdr>
      </w:pPr>
      <w:r>
        <w:t>4. RESULTS</w:t>
      </w:r>
    </w:p>
    <w:p>
      <w:pPr>
        <w:pStyle w:val="AIMRBodyFirst"/>
      </w:pPr>
      <w:r>
        <w:t>[Present your findings here. Reference all tables and figures in the text before they appear.]</w:t>
      </w:r>
    </w:p>
    <w:p>
      <w:pPr>
        <w:pStyle w:val="AIMRTableTitle"/>
      </w:pPr>
      <w:r>
        <w:rPr>
          <w:i/>
        </w:rPr>
        <w:t>Table 1</w:t>
      </w:r>
      <w:r>
        <w:br/>
        <w:t>Descriptive Statistics of Key Variables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814"/>
            <w:tcBorders>
              <w:top w:val="single" w:sz="8" w:space="0" w:color="0D1B2A"/>
              <w:bottom w:val="single" w:sz="4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D1B2A"/>
                <w:sz w:val="18"/>
              </w:rPr>
              <w:t>Variable</w:t>
            </w:r>
          </w:p>
        </w:tc>
        <w:tc>
          <w:tcPr>
            <w:tcW w:type="dxa" w:w="1814"/>
            <w:tcBorders>
              <w:top w:val="single" w:sz="8" w:space="0" w:color="0D1B2A"/>
              <w:bottom w:val="single" w:sz="4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D1B2A"/>
                <w:sz w:val="18"/>
              </w:rPr>
              <w:t>N</w:t>
            </w:r>
          </w:p>
        </w:tc>
        <w:tc>
          <w:tcPr>
            <w:tcW w:type="dxa" w:w="1814"/>
            <w:tcBorders>
              <w:top w:val="single" w:sz="8" w:space="0" w:color="0D1B2A"/>
              <w:bottom w:val="single" w:sz="4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D1B2A"/>
                <w:sz w:val="18"/>
              </w:rPr>
              <w:t>Mean</w:t>
            </w:r>
          </w:p>
        </w:tc>
        <w:tc>
          <w:tcPr>
            <w:tcW w:type="dxa" w:w="1814"/>
            <w:tcBorders>
              <w:top w:val="single" w:sz="8" w:space="0" w:color="0D1B2A"/>
              <w:bottom w:val="single" w:sz="4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D1B2A"/>
                <w:sz w:val="18"/>
              </w:rPr>
              <w:t>Std. Dev.</w:t>
            </w:r>
          </w:p>
        </w:tc>
        <w:tc>
          <w:tcPr>
            <w:tcW w:type="dxa" w:w="1814"/>
            <w:tcBorders>
              <w:top w:val="single" w:sz="8" w:space="0" w:color="0D1B2A"/>
              <w:bottom w:val="single" w:sz="4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D1B2A"/>
                <w:sz w:val="18"/>
              </w:rPr>
              <w:t>Min–Max</w:t>
            </w:r>
          </w:p>
        </w:tc>
      </w:tr>
      <w:tr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color w:val="2C3E50"/>
                <w:sz w:val="18"/>
              </w:rPr>
              <w:t>ROA (%)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312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4.52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2.31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-12.1–18.4</w:t>
            </w:r>
          </w:p>
        </w:tc>
      </w:tr>
      <w:tr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color w:val="2C3E50"/>
                <w:sz w:val="18"/>
              </w:rPr>
              <w:t>Audit Committee Size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312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3.78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1.02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2–7</w:t>
            </w:r>
          </w:p>
        </w:tc>
      </w:tr>
      <w:tr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color w:val="2C3E50"/>
                <w:sz w:val="18"/>
              </w:rPr>
              <w:t>AI Adoption Index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312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0.45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0.28</w:t>
            </w:r>
          </w:p>
        </w:tc>
        <w:tc>
          <w:tcPr>
            <w:tcW w:type="dxa" w:w="1814"/>
            <w:tcBorders>
              <w:top w:val="none" w:sz="0" w:space="0" w:color="FFFFFF"/>
              <w:bottom w:val="none" w:sz="0" w:space="0" w:color="FFFFFF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0–1</w:t>
            </w:r>
          </w:p>
        </w:tc>
      </w:tr>
      <w:tr>
        <w:tc>
          <w:tcPr>
            <w:tcW w:type="dxa" w:w="1814"/>
            <w:tcBorders>
              <w:top w:val="none" w:sz="0" w:space="0" w:color="FFFFFF"/>
              <w:bottom w:val="single" w:sz="8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color w:val="2C3E50"/>
                <w:sz w:val="18"/>
              </w:rPr>
              <w:t>Firm Size (ln assets)</w:t>
            </w:r>
          </w:p>
        </w:tc>
        <w:tc>
          <w:tcPr>
            <w:tcW w:type="dxa" w:w="1814"/>
            <w:tcBorders>
              <w:top w:val="none" w:sz="0" w:space="0" w:color="FFFFFF"/>
              <w:bottom w:val="single" w:sz="8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312</w:t>
            </w:r>
          </w:p>
        </w:tc>
        <w:tc>
          <w:tcPr>
            <w:tcW w:type="dxa" w:w="1814"/>
            <w:tcBorders>
              <w:top w:val="none" w:sz="0" w:space="0" w:color="FFFFFF"/>
              <w:bottom w:val="single" w:sz="8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14.23</w:t>
            </w:r>
          </w:p>
        </w:tc>
        <w:tc>
          <w:tcPr>
            <w:tcW w:type="dxa" w:w="1814"/>
            <w:tcBorders>
              <w:top w:val="none" w:sz="0" w:space="0" w:color="FFFFFF"/>
              <w:bottom w:val="single" w:sz="8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2.45</w:t>
            </w:r>
          </w:p>
        </w:tc>
        <w:tc>
          <w:tcPr>
            <w:tcW w:type="dxa" w:w="1814"/>
            <w:tcBorders>
              <w:top w:val="none" w:sz="0" w:space="0" w:color="FFFFFF"/>
              <w:bottom w:val="single" w:sz="8" w:space="0" w:color="0D1B2A"/>
              <w:start w:val="none" w:sz="0" w:space="0" w:color="FFFFFF"/>
              <w:end w:val="none" w:sz="0" w:space="0" w:color="FFFFFF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color w:val="2C3E50"/>
                <w:sz w:val="18"/>
              </w:rPr>
              <w:t>8.1–21.3</w:t>
            </w:r>
          </w:p>
        </w:tc>
      </w:tr>
    </w:tbl>
    <w:p>
      <w:pPr>
        <w:pStyle w:val="AIMRTableSource"/>
      </w:pPr>
      <w:r>
        <w:rPr>
          <w:b/>
        </w:rPr>
        <w:t xml:space="preserve">Source: </w:t>
      </w:r>
      <w:r>
        <w:t>Authors' calculations based on annual reports (2020–2025).</w:t>
      </w:r>
    </w:p>
    <w:p>
      <w:pPr>
        <w:pStyle w:val="AIMRBodyFirst"/>
      </w:pPr>
      <w:r>
        <w:t>[Continue analysis after the table...]</w:t>
      </w:r>
    </w:p>
    <w:p>
      <w:pPr>
        <w:pStyle w:val="AIMRBodyFirst"/>
        <w:jc w:val="center"/>
      </w:pPr>
      <w:r>
        <w:rPr>
          <w:i/>
          <w:color w:val="6C757D"/>
        </w:rPr>
        <w:t>[INSERT FIGURE HERE — minimum 300 DPI, readable in grayscale]</w:t>
      </w:r>
    </w:p>
    <w:p>
      <w:pPr>
        <w:pStyle w:val="AIMRFigureCaption"/>
      </w:pPr>
      <w:r>
        <w:rPr>
          <w:b/>
          <w:i/>
        </w:rPr>
        <w:t xml:space="preserve">Figure 1. </w:t>
      </w:r>
      <w:r>
        <w:t>[Title describing the figure content]</w:t>
      </w:r>
    </w:p>
    <w:p>
      <w:pPr>
        <w:pStyle w:val="AIMRTableSource"/>
      </w:pPr>
      <w:r>
        <w:rPr>
          <w:b/>
        </w:rPr>
        <w:t xml:space="preserve">Source: </w:t>
      </w:r>
      <w:r>
        <w:t>[Authors' elaboration / data source]</w:t>
      </w:r>
    </w:p>
    <w:p>
      <w:pPr>
        <w:pStyle w:val="AIMRHeading1"/>
        <w:pBdr>
          <w:bottom w:val="single" w:sz="4" w:space="2" w:color="C9A227"/>
        </w:pBdr>
      </w:pPr>
      <w:r>
        <w:t>5. DISCUSSION</w:t>
      </w:r>
    </w:p>
    <w:p>
      <w:pPr>
        <w:pStyle w:val="AIMRBodyFirst"/>
      </w:pPr>
      <w:r>
        <w:t>[Interpret findings in relation to research questions and existing literature. Explain unexpected results. Discuss theoretical and practical implications.]</w:t>
      </w:r>
    </w:p>
    <w:p>
      <w:pPr>
        <w:pStyle w:val="AIMRHeading1"/>
        <w:pBdr>
          <w:bottom w:val="single" w:sz="4" w:space="2" w:color="C9A227"/>
        </w:pBdr>
      </w:pPr>
      <w:r>
        <w:t>6. CONCLUSIONS</w:t>
      </w:r>
    </w:p>
    <w:p>
      <w:pPr>
        <w:pStyle w:val="AIMRBodyFirst"/>
      </w:pPr>
      <w:r>
        <w:t>[Summarize key findings (do not repeat results verbatim). State contribution to theory and practice. Acknowledge limitations. Suggest directions for future research.]</w:t>
      </w:r>
    </w:p>
    <w:p>
      <w:pPr>
        <w:spacing w:before="120" w:after="120"/>
        <w:pBdr>
          <w:bottom w:val="single" w:sz="4" w:space="1" w:color="C9A227"/>
        </w:pBdr>
      </w:pPr>
    </w:p>
    <w:p>
      <w:pPr>
        <w:pStyle w:val="AIMRDeclarationHeading"/>
      </w:pPr>
      <w:r>
        <w:t>ACKNOWLEDGMENTS</w:t>
      </w:r>
    </w:p>
    <w:p>
      <w:pPr>
        <w:pStyle w:val="AIMRDeclaration"/>
      </w:pPr>
      <w:r>
        <w:t>[Optional. Thank individuals or institutions who contributed but do not qualify as authors.]</w:t>
      </w:r>
    </w:p>
    <w:p>
      <w:pPr>
        <w:pStyle w:val="AIMRDeclarationHeading"/>
      </w:pPr>
      <w:r>
        <w:t>AUTHOR CONTRIBUTIONS</w:t>
      </w:r>
    </w:p>
    <w:p>
      <w:pPr>
        <w:pStyle w:val="AIMRDeclaration"/>
      </w:pPr>
      <w:r>
        <w:t>Conceptualization, A.B.; Methodology, A.B. and C.D.; Formal analysis, C.D.; Writing—original draft, A.B.; Writing—review &amp; editing, C.D.; Supervision, E.F. All authors have read and agreed to the published version of the manuscript.</w:t>
      </w:r>
    </w:p>
    <w:p>
      <w:pPr>
        <w:pStyle w:val="AIMRDeclarationHeading"/>
      </w:pPr>
      <w:r>
        <w:t>DECLARATION OF INTEREST</w:t>
      </w:r>
    </w:p>
    <w:p>
      <w:pPr>
        <w:pStyle w:val="AIMRDeclaration"/>
      </w:pPr>
      <w:r>
        <w:t>The authors declare no conflict of interest.</w:t>
      </w:r>
    </w:p>
    <w:p>
      <w:pPr>
        <w:pStyle w:val="AIMRDeclarationHeading"/>
      </w:pPr>
      <w:r>
        <w:t>FUNDING</w:t>
      </w:r>
    </w:p>
    <w:p>
      <w:pPr>
        <w:pStyle w:val="AIMRDeclaration"/>
      </w:pPr>
      <w:r>
        <w:t>This research received no external funding.</w:t>
      </w:r>
    </w:p>
    <w:p>
      <w:pPr>
        <w:spacing w:before="120" w:after="120"/>
        <w:pBdr>
          <w:bottom w:val="single" w:sz="4" w:space="1" w:color="C9A227"/>
        </w:pBdr>
      </w:pPr>
    </w:p>
    <w:p>
      <w:pPr>
        <w:pStyle w:val="AIMRRefHeading"/>
      </w:pPr>
      <w:r>
        <w:t>REFERENCES</w:t>
      </w:r>
    </w:p>
    <w:p>
      <w:pPr>
        <w:pStyle w:val="AIMRReference"/>
        <w:ind w:left="720" w:hanging="720"/>
      </w:pPr>
      <w:r>
        <w:t>Kokina, J., &amp; Davenport, T. H. (2023). The emergence of artificial intelligence: How automation is changing auditing. Journal of Emerging Technologies in Accounting, 14(1), 115–122. https://doi.org/10.2308/jeta-51730</w:t>
      </w:r>
    </w:p>
    <w:p>
      <w:pPr>
        <w:pStyle w:val="AIMRReference"/>
        <w:ind w:left="720" w:hanging="720"/>
      </w:pPr>
      <w:r>
        <w:t>Moeller, R. R. (2022). Brink's modern internal auditing: A common body of knowledge (9th ed.). Wiley.</w:t>
      </w:r>
    </w:p>
    <w:p>
      <w:pPr>
        <w:pStyle w:val="AIMRReference"/>
        <w:ind w:left="720" w:hanging="720"/>
      </w:pPr>
      <w:r>
        <w:t>Smith, A., Jones, B., &amp; Williams, C. (2024). Risk assessment frameworks in the age of digital transformation. Internal Auditing &amp; Risk Management, 69(1), 12–28. https://doi.org/10.XXXXX/aimr.2024.69.02</w:t>
      </w:r>
    </w:p>
    <w:p>
      <w:pPr>
        <w:pStyle w:val="AIMRReference"/>
        <w:ind w:left="720" w:hanging="720"/>
      </w:pPr>
      <w:r>
        <w:t>Sun, T., &amp; Vasarhelyi, M. A. (2023). Embracing textual data analytics in auditing with deep learning. The International Journal of Digital Accounting Research, 18, 49–67. https://doi.org/10.4192/1577-8517-v18_3</w:t>
      </w:r>
    </w:p>
    <w:p>
      <w:pPr>
        <w:pStyle w:val="AIMRReference"/>
        <w:ind w:left="720" w:hanging="720"/>
      </w:pPr>
      <w:r>
        <w:t>Vasile, E., &amp; Croitoru, I. (2023). The impact of AI on internal audit practices. Internal Auditing &amp; Risk Management, 67(2), 38–56. https://doi.org/10.XXXXX/aimr.2023.67.04</w:t>
      </w:r>
    </w:p>
    <w:p>
      <w:pPr>
        <w:pStyle w:val="AIMRReference"/>
        <w:ind w:left="720" w:hanging="720"/>
      </w:pPr>
      <w:r>
        <w:t>Zhang, Y., Liu, X., &amp; Chen, W. (2024). Machine learning applications in financial auditing: A systematic review. Accounting Horizons, 38(2), 201–235. https://doi.org/10.2308/HORIZONS-2023-045</w:t>
      </w:r>
    </w:p>
    <w:p>
      <w:r>
        <w:br w:type="page"/>
      </w:r>
    </w:p>
    <w:p>
      <w:pPr>
        <w:pStyle w:val="AIMRHeading1"/>
        <w:pBdr>
          <w:bottom w:val="single" w:sz="4" w:space="2" w:color="C9A227"/>
        </w:pBdr>
      </w:pPr>
      <w:r>
        <w:t>APPENDIX A. [TITLE] (Optional)</w:t>
      </w:r>
    </w:p>
    <w:p>
      <w:pPr>
        <w:pStyle w:val="AIMRBodyFirst"/>
      </w:pPr>
      <w:r>
        <w:t>[Place supplementary material here — if applicable.]</w:t>
      </w:r>
    </w:p>
    <w:sectPr w:rsidR="00FC693F" w:rsidRPr="0006063C" w:rsidSect="00034616">
      <w:pgSz w:w="11906" w:h="16838"/>
      <w:pgMar w:top="1417" w:right="1417" w:bottom="1417" w:left="141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IMRTitle">
    <w:name w:val="AIMR Title"/>
    <w:pPr>
      <w:keepNext w:val="0"/>
      <w:spacing w:before="120" w:after="120" w:line="276" w:lineRule="auto"/>
      <w:jc w:val="center"/>
    </w:pPr>
    <w:rPr>
      <w:rFonts w:ascii="Times New Roman" w:hAnsi="Times New Roman" w:cs="Times New Roman"/>
      <w:b/>
      <w:i w:val="0"/>
      <w:color w:val="0D1B2A"/>
      <w:sz w:val="32"/>
    </w:rPr>
  </w:style>
  <w:style w:type="paragraph" w:customStyle="1" w:styleId="AIMRArticleType">
    <w:name w:val="AIMR Article Type"/>
    <w:pPr>
      <w:keepNext w:val="0"/>
      <w:spacing w:before="240" w:after="120"/>
      <w:jc w:val="center"/>
    </w:pPr>
    <w:rPr>
      <w:rFonts w:ascii="Arial" w:hAnsi="Arial" w:cs="Arial"/>
      <w:b/>
      <w:i w:val="0"/>
      <w:color w:val="C9A227"/>
      <w:sz w:val="18"/>
    </w:rPr>
  </w:style>
  <w:style w:type="paragraph" w:customStyle="1" w:styleId="AIMRAuthors">
    <w:name w:val="AIMR Authors"/>
    <w:pPr>
      <w:keepNext w:val="0"/>
      <w:spacing w:before="240" w:after="40"/>
      <w:jc w:val="center"/>
    </w:pPr>
    <w:rPr>
      <w:rFonts w:ascii="Arial" w:hAnsi="Arial" w:cs="Arial"/>
      <w:b w:val="0"/>
      <w:i w:val="0"/>
      <w:color w:val="2C3E50"/>
      <w:sz w:val="22"/>
    </w:rPr>
  </w:style>
  <w:style w:type="paragraph" w:customStyle="1" w:styleId="AIMRAffiliation">
    <w:name w:val="AIMR Affiliation"/>
    <w:pPr>
      <w:keepNext w:val="0"/>
      <w:spacing w:before="0" w:after="20"/>
      <w:jc w:val="center"/>
    </w:pPr>
    <w:rPr>
      <w:rFonts w:ascii="Arial" w:hAnsi="Arial" w:cs="Arial"/>
      <w:b w:val="0"/>
      <w:i w:val="0"/>
      <w:color w:val="6C757D"/>
      <w:sz w:val="18"/>
    </w:rPr>
  </w:style>
  <w:style w:type="paragraph" w:customStyle="1" w:styleId="AIMRDates">
    <w:name w:val="AIMR Dates"/>
    <w:pPr>
      <w:keepNext w:val="0"/>
      <w:spacing w:before="40" w:after="40"/>
    </w:pPr>
    <w:rPr>
      <w:rFonts w:ascii="Arial" w:hAnsi="Arial" w:cs="Arial"/>
      <w:b w:val="0"/>
      <w:i w:val="0"/>
      <w:color w:val="2C3E50"/>
      <w:sz w:val="18"/>
    </w:rPr>
  </w:style>
  <w:style w:type="paragraph" w:customStyle="1" w:styleId="AIMRAbstractHeading">
    <w:name w:val="AIMR Abstract Heading"/>
    <w:pPr>
      <w:keepNext w:val="0"/>
      <w:spacing w:before="240" w:after="120"/>
    </w:pPr>
    <w:rPr>
      <w:rFonts w:ascii="Times New Roman" w:hAnsi="Times New Roman" w:cs="Times New Roman"/>
      <w:b/>
      <w:i w:val="0"/>
      <w:color w:val="0D1B2A"/>
      <w:sz w:val="22"/>
    </w:rPr>
  </w:style>
  <w:style w:type="paragraph" w:customStyle="1" w:styleId="AIMRAbstract">
    <w:name w:val="AIMR Abstract"/>
    <w:pPr>
      <w:keepNext w:val="0"/>
      <w:spacing w:before="0" w:after="120" w:line="276" w:lineRule="auto"/>
      <w:jc w:val="both"/>
    </w:pPr>
    <w:rPr>
      <w:rFonts w:ascii="Times New Roman" w:hAnsi="Times New Roman" w:cs="Times New Roman"/>
      <w:b w:val="0"/>
      <w:i/>
      <w:color w:val="2C3E50"/>
      <w:sz w:val="20"/>
    </w:rPr>
  </w:style>
  <w:style w:type="paragraph" w:customStyle="1" w:styleId="AIMRKeywords">
    <w:name w:val="AIMR Keywords"/>
    <w:pPr>
      <w:keepNext w:val="0"/>
      <w:spacing w:before="120" w:after="40"/>
    </w:pPr>
    <w:rPr>
      <w:rFonts w:ascii="Arial" w:hAnsi="Arial" w:cs="Arial"/>
      <w:b w:val="0"/>
      <w:i w:val="0"/>
      <w:color w:val="2C3E50"/>
      <w:sz w:val="18"/>
    </w:rPr>
  </w:style>
  <w:style w:type="paragraph" w:customStyle="1" w:styleId="AIMRJEL">
    <w:name w:val="AIMR JEL"/>
    <w:pPr>
      <w:keepNext w:val="0"/>
      <w:spacing w:before="40" w:after="120"/>
    </w:pPr>
    <w:rPr>
      <w:rFonts w:ascii="Arial" w:hAnsi="Arial" w:cs="Arial"/>
      <w:b w:val="0"/>
      <w:i w:val="0"/>
      <w:color w:val="2C3E50"/>
      <w:sz w:val="18"/>
    </w:rPr>
  </w:style>
  <w:style w:type="paragraph" w:customStyle="1" w:styleId="AIMRLicense">
    <w:name w:val="AIMR License"/>
    <w:pPr>
      <w:keepNext w:val="0"/>
      <w:spacing w:before="120" w:after="120"/>
    </w:pPr>
    <w:rPr>
      <w:rFonts w:ascii="Arial" w:hAnsi="Arial" w:cs="Arial"/>
      <w:b w:val="0"/>
      <w:i/>
      <w:color w:val="6C757D"/>
      <w:sz w:val="16"/>
    </w:rPr>
  </w:style>
  <w:style w:type="paragraph" w:customStyle="1" w:styleId="AIMRHeaderInfo">
    <w:name w:val="AIMR Header Info"/>
    <w:pPr>
      <w:keepNext w:val="0"/>
      <w:spacing w:before="0" w:after="0"/>
      <w:jc w:val="center"/>
    </w:pPr>
    <w:rPr>
      <w:rFonts w:ascii="Arial" w:hAnsi="Arial" w:cs="Arial"/>
      <w:b w:val="0"/>
      <w:i w:val="0"/>
      <w:color w:val="6C757D"/>
      <w:sz w:val="18"/>
    </w:rPr>
  </w:style>
  <w:style w:type="paragraph" w:customStyle="1" w:styleId="AIMRHeading1">
    <w:name w:val="AIMR Heading 1"/>
    <w:pPr>
      <w:keepNext/>
      <w:spacing w:before="360" w:after="160" w:line="276" w:lineRule="auto"/>
    </w:pPr>
    <w:rPr>
      <w:rFonts w:ascii="Times New Roman" w:hAnsi="Times New Roman" w:cs="Times New Roman"/>
      <w:b/>
      <w:i w:val="0"/>
      <w:color w:val="0D1B2A"/>
      <w:sz w:val="24"/>
    </w:rPr>
  </w:style>
  <w:style w:type="paragraph" w:customStyle="1" w:styleId="AIMRHeading2">
    <w:name w:val="AIMR Heading 2"/>
    <w:pPr>
      <w:keepNext/>
      <w:spacing w:before="280" w:after="120" w:line="276" w:lineRule="auto"/>
    </w:pPr>
    <w:rPr>
      <w:rFonts w:ascii="Times New Roman" w:hAnsi="Times New Roman" w:cs="Times New Roman"/>
      <w:b/>
      <w:i w:val="0"/>
      <w:color w:val="0D1B2A"/>
      <w:sz w:val="22"/>
    </w:rPr>
  </w:style>
  <w:style w:type="paragraph" w:customStyle="1" w:styleId="AIMRHeading3">
    <w:name w:val="AIMR Heading 3"/>
    <w:pPr>
      <w:keepNext/>
      <w:spacing w:before="200" w:after="80" w:line="276" w:lineRule="auto"/>
    </w:pPr>
    <w:rPr>
      <w:rFonts w:ascii="Times New Roman" w:hAnsi="Times New Roman" w:cs="Times New Roman"/>
      <w:b/>
      <w:i/>
      <w:color w:val="2C3E50"/>
      <w:sz w:val="22"/>
    </w:rPr>
  </w:style>
  <w:style w:type="paragraph" w:customStyle="1" w:styleId="AIMRBody">
    <w:name w:val="AIMR Body"/>
    <w:pPr>
      <w:keepNext w:val="0"/>
      <w:spacing w:before="0" w:after="0" w:line="360" w:lineRule="auto"/>
      <w:ind w:firstLine="720"/>
      <w:jc w:val="both"/>
    </w:pPr>
    <w:rPr>
      <w:rFonts w:ascii="Times New Roman" w:hAnsi="Times New Roman" w:cs="Times New Roman"/>
      <w:b w:val="0"/>
      <w:i w:val="0"/>
      <w:color w:val="2C3E50"/>
      <w:sz w:val="22"/>
    </w:rPr>
  </w:style>
  <w:style w:type="paragraph" w:customStyle="1" w:styleId="AIMRBodyFirst">
    <w:name w:val="AIMR Body First"/>
    <w:pPr>
      <w:keepNext w:val="0"/>
      <w:spacing w:before="0" w:after="0" w:line="360" w:lineRule="auto"/>
      <w:jc w:val="both"/>
    </w:pPr>
    <w:rPr>
      <w:rFonts w:ascii="Times New Roman" w:hAnsi="Times New Roman" w:cs="Times New Roman"/>
      <w:b w:val="0"/>
      <w:i w:val="0"/>
      <w:color w:val="2C3E50"/>
      <w:sz w:val="22"/>
    </w:rPr>
  </w:style>
  <w:style w:type="paragraph" w:customStyle="1" w:styleId="AIMRTableTitle">
    <w:name w:val="AIMR Table Title"/>
    <w:pPr>
      <w:keepNext/>
      <w:spacing w:before="240" w:after="80"/>
    </w:pPr>
    <w:rPr>
      <w:rFonts w:ascii="Arial" w:hAnsi="Arial" w:cs="Arial"/>
      <w:b/>
      <w:i w:val="0"/>
      <w:color w:val="2C3E50"/>
      <w:sz w:val="20"/>
    </w:rPr>
  </w:style>
  <w:style w:type="paragraph" w:customStyle="1" w:styleId="AIMRTableSource">
    <w:name w:val="AIMR Table Source"/>
    <w:pPr>
      <w:keepNext w:val="0"/>
      <w:spacing w:before="40" w:after="240"/>
    </w:pPr>
    <w:rPr>
      <w:rFonts w:ascii="Arial" w:hAnsi="Arial" w:cs="Arial"/>
      <w:b w:val="0"/>
      <w:i/>
      <w:color w:val="6C757D"/>
      <w:sz w:val="16"/>
    </w:rPr>
  </w:style>
  <w:style w:type="paragraph" w:customStyle="1" w:styleId="AIMRFigureCaption">
    <w:name w:val="AIMR Figure Caption"/>
    <w:pPr>
      <w:keepNext w:val="0"/>
      <w:spacing w:before="80" w:after="240"/>
      <w:jc w:val="center"/>
    </w:pPr>
    <w:rPr>
      <w:rFonts w:ascii="Arial" w:hAnsi="Arial" w:cs="Arial"/>
      <w:b w:val="0"/>
      <w:i w:val="0"/>
      <w:color w:val="2C3E50"/>
      <w:sz w:val="18"/>
    </w:rPr>
  </w:style>
  <w:style w:type="paragraph" w:customStyle="1" w:styleId="AIMRRefHeading">
    <w:name w:val="AIMR Ref Heading"/>
    <w:pPr>
      <w:keepNext w:val="0"/>
      <w:spacing w:before="360" w:after="160"/>
    </w:pPr>
    <w:rPr>
      <w:rFonts w:ascii="Times New Roman" w:hAnsi="Times New Roman" w:cs="Times New Roman"/>
      <w:b/>
      <w:i w:val="0"/>
      <w:color w:val="0D1B2A"/>
      <w:sz w:val="24"/>
    </w:rPr>
  </w:style>
  <w:style w:type="paragraph" w:customStyle="1" w:styleId="AIMRReference">
    <w:name w:val="AIMR Reference"/>
    <w:pPr>
      <w:keepNext w:val="0"/>
      <w:spacing w:before="0" w:after="80" w:line="276" w:lineRule="auto"/>
      <w:jc w:val="both"/>
    </w:pPr>
    <w:rPr>
      <w:rFonts w:ascii="Times New Roman" w:hAnsi="Times New Roman" w:cs="Times New Roman"/>
      <w:b w:val="0"/>
      <w:i w:val="0"/>
      <w:color w:val="2C3E50"/>
      <w:sz w:val="20"/>
    </w:rPr>
  </w:style>
  <w:style w:type="paragraph" w:customStyle="1" w:styleId="AIMRDeclarationHeading">
    <w:name w:val="AIMR Declaration Heading"/>
    <w:pPr>
      <w:keepNext w:val="0"/>
      <w:spacing w:before="240" w:after="80"/>
    </w:pPr>
    <w:rPr>
      <w:rFonts w:ascii="Arial" w:hAnsi="Arial" w:cs="Arial"/>
      <w:b/>
      <w:i w:val="0"/>
      <w:color w:val="0D1B2A"/>
      <w:sz w:val="18"/>
    </w:rPr>
  </w:style>
  <w:style w:type="paragraph" w:customStyle="1" w:styleId="AIMRDeclaration">
    <w:name w:val="AIMR Declaration"/>
    <w:pPr>
      <w:keepNext w:val="0"/>
      <w:spacing w:before="0" w:after="80"/>
    </w:pPr>
    <w:rPr>
      <w:rFonts w:ascii="Arial" w:hAnsi="Arial" w:cs="Arial"/>
      <w:b w:val="0"/>
      <w:i w:val="0"/>
      <w:color w:val="2C3E50"/>
      <w:sz w:val="18"/>
    </w:rPr>
  </w:style>
  <w:style w:type="paragraph" w:customStyle="1" w:styleId="AIMRFootnote">
    <w:name w:val="AIMR Footnote"/>
    <w:pPr>
      <w:keepNext w:val="0"/>
      <w:spacing w:before="0" w:after="40"/>
    </w:pPr>
    <w:rPr>
      <w:rFonts w:ascii="Times New Roman" w:hAnsi="Times New Roman" w:cs="Times New Roman"/>
      <w:b w:val="0"/>
      <w:i w:val="0"/>
      <w:color w:val="6C757D"/>
      <w:sz w:val="18"/>
    </w:rPr>
  </w:style>
  <w:style w:type="paragraph" w:customStyle="1" w:styleId="AIMREquation">
    <w:name w:val="AIMR Equation"/>
    <w:pPr>
      <w:keepNext w:val="0"/>
      <w:spacing w:before="160" w:after="160"/>
      <w:jc w:val="center"/>
    </w:pPr>
    <w:rPr>
      <w:rFonts w:ascii="Cambria Math" w:hAnsi="Cambria Math" w:cs="Cambria Math"/>
      <w:b w:val="0"/>
      <w:i w:val="0"/>
      <w:color w:val="2C3E50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Athenaeum University of Bucharest - Internal Auditing and Risk Management (aimr@univath.ro)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AIMR Article Template</dc:title>
  <dc:subject>Internal Auditing &amp; Risk Management</dc:subject>
  <dc:creator>AIMR Editorial Office (aimr@univath.ro)</dc:creator>
  <cp:keywords/>
  <dc:description>Internal Auditing and Risk Management (AIMR), ISSN 2065-8168 / 2068-2077, Athenaeum University of Bucharest. Contact: aimr@univath.ro</dc:description>
  <cp:lastModifiedBy>AIMR Editorial Office (aimr@univath.ro)</cp:lastModifiedBy>
  <cp:revision>1</cp:revision>
  <dcterms:created xsi:type="dcterms:W3CDTF">2013-12-23T23:15:00Z</dcterms:created>
  <dcterms:modified xsi:type="dcterms:W3CDTF">2013-12-23T23:15:00Z</dcterms:modified>
  <cp:category/>
</cp:coreProperties>
</file>